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133E" w14:textId="77777777"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14:paraId="37860F69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14:paraId="2D09F97A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14:paraId="72B477FD" w14:textId="77777777" w:rsidR="00CF405F" w:rsidRPr="004E4AF4" w:rsidRDefault="00CF405F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ИСПАНИЯ</w:t>
      </w:r>
    </w:p>
    <w:p w14:paraId="106C075F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14:paraId="1B636EB4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14:paraId="509AA2CA" w14:textId="77777777" w:rsidR="00C06940" w:rsidRPr="00C06940" w:rsidRDefault="00CF405F" w:rsidP="00C06940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5A1D89BB" w14:textId="7D5471AF" w:rsidR="00C06940" w:rsidRPr="00CA7AC3" w:rsidRDefault="00CF405F" w:rsidP="00CA7AC3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</w:t>
      </w:r>
      <w:proofErr w:type="gramStart"/>
      <w:r w:rsidRPr="006476BC">
        <w:rPr>
          <w:bCs/>
          <w:color w:val="000000"/>
        </w:rPr>
        <w:t>ребенка, в случае, если</w:t>
      </w:r>
      <w:proofErr w:type="gramEnd"/>
      <w:r w:rsidRPr="006476BC">
        <w:rPr>
          <w:bCs/>
          <w:color w:val="000000"/>
        </w:rPr>
        <w:t xml:space="preserve"> ребенок едет с одним из родителей, либо без сопровождения взрослых.</w:t>
      </w:r>
    </w:p>
    <w:p w14:paraId="3A39C092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549D819F" w14:textId="77777777"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39828FC6" w14:textId="77777777"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14:paraId="60D25EB1" w14:textId="77777777" w:rsidR="00CF405F" w:rsidRPr="004E4AF4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01879C3F" w14:textId="77777777"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14:paraId="4A81DE99" w14:textId="77777777" w:rsid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734578E2" w14:textId="77777777"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14:paraId="4B3B7195" w14:textId="32E888D8" w:rsidR="00CF405F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</w:t>
      </w:r>
      <w:r w:rsidR="00CA7AC3">
        <w:rPr>
          <w:rFonts w:cs="Arial"/>
          <w:lang w:val="uk-UA"/>
        </w:rPr>
        <w:t>3</w:t>
      </w:r>
      <w:r w:rsidRPr="00705CF1">
        <w:rPr>
          <w:rFonts w:cs="Arial"/>
          <w:lang w:val="uk-UA"/>
        </w:rPr>
        <w:t xml:space="preserve">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</w:t>
      </w:r>
      <w:r w:rsidR="00CA7AC3">
        <w:rPr>
          <w:rFonts w:cs="Arial"/>
          <w:lang w:val="uk-UA"/>
        </w:rPr>
        <w:t>7</w:t>
      </w:r>
      <w:r w:rsidRPr="00705CF1">
        <w:rPr>
          <w:rFonts w:cs="Arial"/>
          <w:lang w:val="uk-UA"/>
        </w:rPr>
        <w:t xml:space="preserve">кг.  </w:t>
      </w:r>
    </w:p>
    <w:p w14:paraId="42814828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14:paraId="74B9F700" w14:textId="77777777" w:rsidR="00CF405F" w:rsidRDefault="00CF405F" w:rsidP="00CF405F">
      <w:r>
        <w:lastRenderedPageBreak/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14:paraId="1D45BE5A" w14:textId="77777777"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14:paraId="17A44635" w14:textId="77777777"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CF405F">
        <w:rPr>
          <w:rFonts w:cs="Arial"/>
        </w:rPr>
        <w:t>World</w:t>
      </w:r>
      <w:proofErr w:type="spellEnd"/>
      <w:r w:rsidRPr="00CF405F">
        <w:rPr>
          <w:rFonts w:cs="Arial"/>
        </w:rPr>
        <w:t xml:space="preserve">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14:paraId="14262BFC" w14:textId="77777777" w:rsidR="00CF405F" w:rsidRPr="00011718" w:rsidRDefault="00CF405F" w:rsidP="00CF405F">
      <w:r>
        <w:t xml:space="preserve">После прохождения таможенного досмотра </w:t>
      </w:r>
      <w:r w:rsidRPr="00011718">
        <w:t>Вас</w:t>
      </w:r>
      <w:r>
        <w:t xml:space="preserve"> встретит представитель компании </w:t>
      </w:r>
      <w:r w:rsidR="00302D8B">
        <w:rPr>
          <w:lang w:val="en-US"/>
        </w:rPr>
        <w:t>ITravex</w:t>
      </w:r>
      <w:r>
        <w:t xml:space="preserve"> </w:t>
      </w:r>
      <w:r w:rsidRPr="00011718">
        <w:t xml:space="preserve">с табличкой </w:t>
      </w:r>
      <w:r>
        <w:t>«</w:t>
      </w:r>
      <w:r>
        <w:rPr>
          <w:lang w:val="en-US"/>
        </w:rPr>
        <w:t>JoinUP</w:t>
      </w:r>
      <w:r w:rsidRPr="00011718">
        <w:t>!</w:t>
      </w:r>
      <w:r>
        <w:t>»</w:t>
      </w:r>
    </w:p>
    <w:p w14:paraId="17721607" w14:textId="77777777" w:rsidR="00CF405F" w:rsidRPr="00B20DF7" w:rsidRDefault="00CF405F" w:rsidP="00CF405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>По приезду в отель для заселения предъявите на Reception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14:paraId="0EC3B5DB" w14:textId="77777777"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05244597" w14:textId="77777777"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14:paraId="5B8E59B7" w14:textId="77777777" w:rsidR="00C06940" w:rsidRDefault="00C06940" w:rsidP="00CF405F">
      <w:pPr>
        <w:jc w:val="both"/>
        <w:rPr>
          <w:b/>
          <w:bCs/>
          <w:color w:val="000000"/>
        </w:rPr>
      </w:pPr>
    </w:p>
    <w:p w14:paraId="7F14B398" w14:textId="77777777" w:rsidR="00C06940" w:rsidRDefault="00C06940" w:rsidP="00CF405F">
      <w:pPr>
        <w:jc w:val="both"/>
        <w:rPr>
          <w:b/>
          <w:bCs/>
          <w:color w:val="000000"/>
        </w:rPr>
      </w:pPr>
    </w:p>
    <w:p w14:paraId="583AC08F" w14:textId="77777777" w:rsidR="00C06940" w:rsidRDefault="00C06940" w:rsidP="00CF405F">
      <w:pPr>
        <w:jc w:val="both"/>
        <w:rPr>
          <w:b/>
          <w:bCs/>
          <w:color w:val="000000"/>
        </w:rPr>
      </w:pPr>
    </w:p>
    <w:p w14:paraId="60FA0EFB" w14:textId="1DD6A3AF" w:rsidR="00C06940" w:rsidRDefault="00C06940" w:rsidP="00CF405F">
      <w:pPr>
        <w:jc w:val="both"/>
        <w:rPr>
          <w:b/>
          <w:bCs/>
          <w:color w:val="000000"/>
        </w:rPr>
      </w:pPr>
    </w:p>
    <w:p w14:paraId="4E52228D" w14:textId="40045AFB" w:rsidR="00CA7AC3" w:rsidRDefault="00CA7AC3" w:rsidP="00CF405F">
      <w:pPr>
        <w:jc w:val="both"/>
        <w:rPr>
          <w:b/>
          <w:bCs/>
          <w:color w:val="000000"/>
        </w:rPr>
      </w:pPr>
    </w:p>
    <w:p w14:paraId="02232E46" w14:textId="1AB2D3CD" w:rsidR="00CA7AC3" w:rsidRDefault="00CA7AC3" w:rsidP="00CF405F">
      <w:pPr>
        <w:jc w:val="both"/>
        <w:rPr>
          <w:b/>
          <w:bCs/>
          <w:color w:val="000000"/>
        </w:rPr>
      </w:pPr>
    </w:p>
    <w:p w14:paraId="597424EF" w14:textId="57B9BDEA" w:rsidR="00CA7AC3" w:rsidRDefault="00CA7AC3" w:rsidP="00CF405F">
      <w:pPr>
        <w:jc w:val="both"/>
        <w:rPr>
          <w:b/>
          <w:bCs/>
          <w:color w:val="000000"/>
        </w:rPr>
      </w:pPr>
    </w:p>
    <w:p w14:paraId="0BB792BA" w14:textId="77777777" w:rsidR="00CA7AC3" w:rsidRDefault="00CA7AC3" w:rsidP="00CF405F">
      <w:pPr>
        <w:jc w:val="both"/>
        <w:rPr>
          <w:b/>
          <w:bCs/>
          <w:color w:val="000000"/>
        </w:rPr>
      </w:pPr>
    </w:p>
    <w:p w14:paraId="741D95A3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lastRenderedPageBreak/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14:paraId="2E0281FB" w14:textId="77777777"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14:paraId="31414616" w14:textId="77777777"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14:paraId="302A93E8" w14:textId="77777777" w:rsidR="009234FC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rFonts w:ascii="Calibri" w:hAnsi="Calibri" w:cs="Times New Roman"/>
          <w:bCs/>
          <w:sz w:val="22"/>
          <w:szCs w:val="22"/>
        </w:rPr>
        <w:t xml:space="preserve"> или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ресепшене. </w:t>
      </w:r>
    </w:p>
    <w:p w14:paraId="6C7903EB" w14:textId="77777777" w:rsidR="00CF405F" w:rsidRDefault="00CF405F" w:rsidP="00CF405F"/>
    <w:p w14:paraId="79984A00" w14:textId="77777777"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Pr="00011718">
        <w:rPr>
          <w:rFonts w:cs="Arial"/>
        </w:rPr>
        <w:t>12:00.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625BD71C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14:paraId="785849C6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6E1333C1" w14:textId="77777777"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14:paraId="71B552A5" w14:textId="77777777"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5430748F" w14:textId="77777777" w:rsidR="00CF405F" w:rsidRDefault="00CF405F" w:rsidP="00CF405F">
      <w:r w:rsidRPr="004E4AF4">
        <w:rPr>
          <w:b/>
        </w:rPr>
        <w:t>Правила таможни.</w:t>
      </w:r>
      <w:r>
        <w:t xml:space="preserve"> Ввоз-вывоз валюты</w:t>
      </w:r>
    </w:p>
    <w:p w14:paraId="61F46C16" w14:textId="77777777" w:rsidR="00CF405F" w:rsidRDefault="00CF405F" w:rsidP="00CF405F">
      <w:r>
        <w:t>Таможенные правила Испании не возбраняют свободный вывоз валюты – как национальной (евро), так и прочей. Для лиц, которые въезжают из стран, не входящих в зону Евросоюза, ввоз сумм выше 10 тысяч евро должен сопровождаться обязательным декларированием этих сумм.</w:t>
      </w:r>
    </w:p>
    <w:p w14:paraId="78E37589" w14:textId="77777777"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14:paraId="4920F80A" w14:textId="77777777"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14:paraId="10D8676F" w14:textId="77777777" w:rsidR="00CF405F" w:rsidRDefault="00CF405F" w:rsidP="00CF405F">
      <w:r>
        <w:t>На территорию Испании можно ввозить 500 гр. кофе или 200 гр. кофейного экстракта (туристам старше 15 лет), 100 гр. чая или 40 гр. чайного экстракта.</w:t>
      </w:r>
    </w:p>
    <w:p w14:paraId="28F78C88" w14:textId="77777777" w:rsidR="009234FC" w:rsidRDefault="009234FC" w:rsidP="00CF405F"/>
    <w:p w14:paraId="3BD6FFCB" w14:textId="77777777" w:rsidR="00015CBD" w:rsidRDefault="00015CBD" w:rsidP="00CF405F"/>
    <w:p w14:paraId="421FE60A" w14:textId="5F63454D" w:rsidR="00015CBD" w:rsidRDefault="00015CBD" w:rsidP="00CF405F"/>
    <w:p w14:paraId="7E66861E" w14:textId="77777777" w:rsidR="00CA7AC3" w:rsidRDefault="00CA7AC3" w:rsidP="00CF405F"/>
    <w:p w14:paraId="5CC8D88F" w14:textId="77777777" w:rsidR="00CF405F" w:rsidRPr="00015CBD" w:rsidRDefault="00CF405F" w:rsidP="00015CBD">
      <w:pPr>
        <w:jc w:val="center"/>
        <w:rPr>
          <w:b/>
          <w:bCs/>
        </w:rPr>
      </w:pPr>
      <w:r w:rsidRPr="006476BC">
        <w:rPr>
          <w:b/>
        </w:rPr>
        <w:lastRenderedPageBreak/>
        <w:t xml:space="preserve">Убедительно просим Вас сообщить представителю компании </w:t>
      </w:r>
      <w:r w:rsidR="00302D8B">
        <w:rPr>
          <w:b/>
          <w:bCs/>
          <w:iCs/>
          <w:lang w:val="en-US"/>
        </w:rPr>
        <w:t>ITravex</w:t>
      </w:r>
      <w:r w:rsidR="00015CBD" w:rsidRPr="006476BC">
        <w:rPr>
          <w:b/>
          <w:bCs/>
        </w:rPr>
        <w:t xml:space="preserve"> </w:t>
      </w:r>
      <w:r w:rsidR="00015CBD">
        <w:rPr>
          <w:b/>
          <w:bCs/>
        </w:rPr>
        <w:br/>
      </w:r>
      <w:r w:rsidRPr="006476BC">
        <w:rPr>
          <w:b/>
          <w:bCs/>
        </w:rPr>
        <w:t>о любых изменениях:</w:t>
      </w:r>
    </w:p>
    <w:p w14:paraId="2028D85E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14:paraId="5A014FA2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14:paraId="7F58F09C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14:paraId="12138D0E" w14:textId="77777777" w:rsidR="00CF405F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14:paraId="131719A5" w14:textId="77777777"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14:paraId="783F9452" w14:textId="77777777" w:rsidR="00CF405F" w:rsidRPr="00A47D2F" w:rsidRDefault="009A0855" w:rsidP="00CF405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015893" wp14:editId="48AFE78D">
            <wp:simplePos x="0" y="0"/>
            <wp:positionH relativeFrom="margin">
              <wp:posOffset>-215265</wp:posOffset>
            </wp:positionH>
            <wp:positionV relativeFrom="paragraph">
              <wp:posOffset>117475</wp:posOffset>
            </wp:positionV>
            <wp:extent cx="4591050" cy="1865630"/>
            <wp:effectExtent l="0" t="0" r="0" b="1270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F52F87F" wp14:editId="4D13E5AB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15A2" w14:textId="77777777"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14:paraId="7B8CCDD3" w14:textId="77777777"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14:paraId="63C12005" w14:textId="77777777"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14:paraId="02F65023" w14:textId="77777777" w:rsidR="00CF405F" w:rsidRPr="00302D8B" w:rsidRDefault="00CF405F" w:rsidP="00CF405F">
      <w:pPr>
        <w:spacing w:after="0" w:line="240" w:lineRule="auto"/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Pr="009332E8">
        <w:t xml:space="preserve">Горячая телефонная линия компании </w:t>
      </w:r>
      <w:r w:rsidR="00302D8B">
        <w:rPr>
          <w:b/>
          <w:bCs/>
          <w:iCs/>
          <w:lang w:val="en-US"/>
        </w:rPr>
        <w:t>ITravex</w:t>
      </w:r>
    </w:p>
    <w:p w14:paraId="3E6D0CE8" w14:textId="77777777" w:rsidR="00CF405F" w:rsidRPr="00CF405F" w:rsidRDefault="00302D8B" w:rsidP="00CF405F">
      <w:pPr>
        <w:spacing w:after="0" w:line="240" w:lineRule="auto"/>
      </w:pPr>
      <w:r>
        <w:rPr>
          <w:b/>
          <w:bCs/>
          <w:color w:val="FF0000"/>
        </w:rPr>
        <w:t>+34 660 426 808</w:t>
      </w:r>
      <w:r w:rsidR="00CF405F" w:rsidRPr="00CF405F">
        <w:rPr>
          <w:bCs/>
        </w:rPr>
        <w:t xml:space="preserve"> </w:t>
      </w:r>
      <w:r w:rsidR="00CF405F">
        <w:rPr>
          <w:bCs/>
        </w:rPr>
        <w:t>только для экстренной связи.</w:t>
      </w:r>
    </w:p>
    <w:p w14:paraId="7894F0FA" w14:textId="77777777" w:rsidR="00CF405F" w:rsidRPr="00302D8B" w:rsidRDefault="00CF405F" w:rsidP="00CF405F">
      <w:pPr>
        <w:spacing w:after="0" w:line="240" w:lineRule="auto"/>
        <w:rPr>
          <w:rFonts w:cs="Arial"/>
        </w:rPr>
      </w:pPr>
    </w:p>
    <w:p w14:paraId="04EDAFB8" w14:textId="77777777" w:rsidR="00CF405F" w:rsidRDefault="00CF405F" w:rsidP="00CF405F">
      <w:pPr>
        <w:outlineLvl w:val="0"/>
      </w:pPr>
    </w:p>
    <w:p w14:paraId="2D7AD3ED" w14:textId="77777777"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5EC08B" wp14:editId="410D4BCB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0F9C5" w14:textId="77777777"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14:paraId="781AF020" w14:textId="77777777"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proofErr w:type="spellStart"/>
      <w:r w:rsidRPr="00F70A06">
        <w:rPr>
          <w:bCs/>
          <w:color w:val="000000"/>
          <w:lang w:val="uk-UA"/>
        </w:rPr>
        <w:t>компания</w:t>
      </w:r>
      <w:proofErr w:type="spellEnd"/>
      <w:r w:rsidRPr="00F70A06">
        <w:rPr>
          <w:bCs/>
          <w:color w:val="000000"/>
          <w:lang w:val="uk-UA"/>
        </w:rPr>
        <w:t xml:space="preserve">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14:paraId="3C7AFB9A" w14:textId="77777777"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14:paraId="55132613" w14:textId="77777777"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1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14:paraId="5AA88CA7" w14:textId="77777777"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2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14:paraId="0F28D623" w14:textId="77777777"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</w:p>
    <w:p w14:paraId="2CABACAC" w14:textId="77777777" w:rsidR="00C06940" w:rsidRPr="00CA7AC3" w:rsidRDefault="00C06940" w:rsidP="00CF405F">
      <w:pPr>
        <w:spacing w:after="0" w:line="240" w:lineRule="auto"/>
        <w:ind w:right="-426"/>
        <w:rPr>
          <w:rFonts w:cs="Arial"/>
          <w:lang w:val="en-US"/>
        </w:rPr>
      </w:pPr>
    </w:p>
    <w:p w14:paraId="510BFF8D" w14:textId="77777777" w:rsidR="00015CBD" w:rsidRDefault="00015CBD" w:rsidP="00CF405F">
      <w:pPr>
        <w:jc w:val="both"/>
        <w:rPr>
          <w:b/>
          <w:bCs/>
          <w:lang w:val="uk-UA"/>
        </w:rPr>
      </w:pPr>
    </w:p>
    <w:p w14:paraId="54579F7C" w14:textId="77777777" w:rsidR="00BF0DED" w:rsidRDefault="00BF0DED" w:rsidP="00CF405F">
      <w:pPr>
        <w:jc w:val="both"/>
        <w:rPr>
          <w:b/>
          <w:bCs/>
          <w:lang w:val="uk-UA"/>
        </w:rPr>
      </w:pPr>
    </w:p>
    <w:p w14:paraId="408E3B07" w14:textId="77777777" w:rsidR="00BF0DED" w:rsidRDefault="00BF0DED" w:rsidP="00CF405F">
      <w:pPr>
        <w:jc w:val="both"/>
        <w:rPr>
          <w:b/>
          <w:bCs/>
          <w:lang w:val="uk-UA"/>
        </w:rPr>
      </w:pPr>
    </w:p>
    <w:p w14:paraId="2B7B535C" w14:textId="77777777" w:rsidR="00BF0DED" w:rsidRDefault="00BF0DED" w:rsidP="00CF405F">
      <w:pPr>
        <w:jc w:val="both"/>
        <w:rPr>
          <w:b/>
          <w:bCs/>
          <w:lang w:val="uk-UA"/>
        </w:rPr>
      </w:pPr>
    </w:p>
    <w:p w14:paraId="3539C5C4" w14:textId="77777777" w:rsidR="00BF0DED" w:rsidRPr="00BF0DED" w:rsidRDefault="00BF0DED" w:rsidP="00CF405F">
      <w:pPr>
        <w:jc w:val="both"/>
        <w:rPr>
          <w:b/>
          <w:bCs/>
          <w:lang w:val="uk-UA"/>
        </w:rPr>
      </w:pPr>
    </w:p>
    <w:p w14:paraId="0464C5C6" w14:textId="77777777" w:rsidR="00015CBD" w:rsidRPr="00CA7AC3" w:rsidRDefault="00015CBD" w:rsidP="00CF405F">
      <w:pPr>
        <w:jc w:val="both"/>
        <w:rPr>
          <w:b/>
          <w:bCs/>
          <w:lang w:val="en-US"/>
        </w:rPr>
      </w:pPr>
    </w:p>
    <w:p w14:paraId="2904010B" w14:textId="77777777" w:rsidR="00015CBD" w:rsidRPr="00CA7AC3" w:rsidRDefault="00015CBD" w:rsidP="00CF405F">
      <w:pPr>
        <w:jc w:val="both"/>
        <w:rPr>
          <w:b/>
          <w:bCs/>
          <w:lang w:val="en-US"/>
        </w:rPr>
      </w:pPr>
    </w:p>
    <w:p w14:paraId="19A8BABF" w14:textId="77777777" w:rsidR="00015CBD" w:rsidRPr="00CA7AC3" w:rsidRDefault="00015CBD" w:rsidP="00CF405F">
      <w:pPr>
        <w:jc w:val="both"/>
        <w:rPr>
          <w:b/>
          <w:bCs/>
          <w:lang w:val="en-US"/>
        </w:rPr>
      </w:pPr>
    </w:p>
    <w:p w14:paraId="7910EA41" w14:textId="77777777" w:rsidR="00B25B19" w:rsidRPr="00CA7AC3" w:rsidRDefault="00B25B19" w:rsidP="00CF405F">
      <w:pPr>
        <w:jc w:val="both"/>
        <w:rPr>
          <w:b/>
          <w:bCs/>
          <w:lang w:val="en-US"/>
        </w:rPr>
      </w:pPr>
    </w:p>
    <w:p w14:paraId="18F7BAA6" w14:textId="77777777" w:rsidR="00B25B19" w:rsidRPr="00CA7AC3" w:rsidRDefault="00B25B19" w:rsidP="00CF405F">
      <w:pPr>
        <w:jc w:val="both"/>
        <w:rPr>
          <w:b/>
          <w:bCs/>
          <w:lang w:val="en-US"/>
        </w:rPr>
      </w:pPr>
    </w:p>
    <w:p w14:paraId="72C02FAB" w14:textId="77777777" w:rsidR="00015CBD" w:rsidRPr="00CA7AC3" w:rsidRDefault="00015CBD" w:rsidP="00CF405F">
      <w:pPr>
        <w:jc w:val="both"/>
        <w:rPr>
          <w:b/>
          <w:bCs/>
          <w:lang w:val="en-US"/>
        </w:rPr>
      </w:pPr>
    </w:p>
    <w:p w14:paraId="51F1AA42" w14:textId="77777777" w:rsidR="00015CBD" w:rsidRPr="00CA7AC3" w:rsidRDefault="00015CBD" w:rsidP="00CF405F">
      <w:pPr>
        <w:jc w:val="both"/>
        <w:rPr>
          <w:b/>
          <w:bCs/>
          <w:lang w:val="en-US"/>
        </w:rPr>
      </w:pPr>
    </w:p>
    <w:p w14:paraId="3F1D789F" w14:textId="77777777" w:rsidR="00CF405F" w:rsidRPr="00CA7AC3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  <w:lang w:val="en-US"/>
        </w:rPr>
      </w:pPr>
    </w:p>
    <w:p w14:paraId="68A95303" w14:textId="77777777" w:rsidR="00CF405F" w:rsidRPr="009F1E0A" w:rsidRDefault="00015CBD" w:rsidP="00CF405F">
      <w:pPr>
        <w:rPr>
          <w:b/>
        </w:rPr>
      </w:pPr>
      <w:r>
        <w:rPr>
          <w:b/>
        </w:rPr>
        <w:t>Дополнительная информация</w:t>
      </w:r>
      <w:r w:rsidR="00CF405F" w:rsidRPr="009F1E0A">
        <w:rPr>
          <w:b/>
        </w:rPr>
        <w:t xml:space="preserve"> </w:t>
      </w:r>
    </w:p>
    <w:p w14:paraId="42E27F78" w14:textId="77777777" w:rsidR="00CF405F" w:rsidRDefault="00CF405F" w:rsidP="00CF405F">
      <w:r>
        <w:rPr>
          <w:b/>
        </w:rPr>
        <w:t xml:space="preserve">Время. </w:t>
      </w:r>
      <w:r w:rsidRPr="00C213C9">
        <w:t xml:space="preserve">В Киеве </w:t>
      </w:r>
      <w:r w:rsidR="00392D00">
        <w:t>на 1 час больше, чем в Андорра ла Велья</w:t>
      </w:r>
      <w:r w:rsidRPr="00C213C9">
        <w:t>.</w:t>
      </w:r>
    </w:p>
    <w:p w14:paraId="0640EF38" w14:textId="73C70028" w:rsidR="00CF405F" w:rsidRDefault="00CF405F" w:rsidP="00392D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b/>
        </w:rPr>
        <w:t xml:space="preserve">Виза. </w:t>
      </w:r>
      <w:r w:rsidR="00392D00" w:rsidRPr="00392D00">
        <w:rPr>
          <w:rFonts w:asciiTheme="minorHAnsi" w:hAnsiTheme="minorHAnsi" w:cs="Segoe UI"/>
          <w:color w:val="000000"/>
        </w:rPr>
        <w:t>Официально Андорра не входит в страны, подписавшие Шенгенское соглашение. Но в связи с особым политическим положением в Андорре действуют все визы, действительные во Франции и Испании. Для въезда необходимо</w:t>
      </w:r>
      <w:r w:rsidR="00CA7AC3">
        <w:rPr>
          <w:rFonts w:asciiTheme="minorHAnsi" w:hAnsiTheme="minorHAnsi" w:cs="Segoe UI"/>
          <w:color w:val="000000"/>
        </w:rPr>
        <w:t xml:space="preserve"> иметь биометрический паспорт, либо</w:t>
      </w:r>
      <w:r w:rsidR="00392D00" w:rsidRPr="00392D00">
        <w:rPr>
          <w:rFonts w:asciiTheme="minorHAnsi" w:hAnsiTheme="minorHAnsi" w:cs="Segoe UI"/>
          <w:color w:val="000000"/>
        </w:rPr>
        <w:t xml:space="preserve"> получить въездную визу Испании или Франции, либо визу любого друго</w:t>
      </w:r>
      <w:bookmarkStart w:id="0" w:name="_GoBack"/>
      <w:bookmarkEnd w:id="0"/>
      <w:r w:rsidR="00392D00" w:rsidRPr="00392D00">
        <w:rPr>
          <w:rFonts w:asciiTheme="minorHAnsi" w:hAnsiTheme="minorHAnsi" w:cs="Segoe UI"/>
          <w:color w:val="000000"/>
        </w:rPr>
        <w:t>го государства ЕС, подписавшего Шенгенские соглашения.</w:t>
      </w:r>
    </w:p>
    <w:p w14:paraId="0425FBE8" w14:textId="77777777" w:rsidR="00392D00" w:rsidRPr="00392D00" w:rsidRDefault="00392D00" w:rsidP="00392D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14:paraId="403DAE7A" w14:textId="77777777" w:rsidR="00CF405F" w:rsidRPr="009F1E0A" w:rsidRDefault="00CF405F" w:rsidP="00CF405F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>
        <w:rPr>
          <w:b/>
        </w:rPr>
        <w:t>ЕВРО (</w:t>
      </w:r>
      <w:r>
        <w:rPr>
          <w:b/>
          <w:lang w:val="en-US"/>
        </w:rPr>
        <w:t>EUR</w:t>
      </w:r>
      <w:r>
        <w:rPr>
          <w:b/>
        </w:rPr>
        <w:t xml:space="preserve">) </w:t>
      </w:r>
    </w:p>
    <w:p w14:paraId="195B44D5" w14:textId="77777777" w:rsidR="00CF405F" w:rsidRPr="004E4AF4" w:rsidRDefault="00CF405F" w:rsidP="00CF405F">
      <w:pPr>
        <w:rPr>
          <w:b/>
        </w:rPr>
      </w:pPr>
      <w:r w:rsidRPr="004E4AF4">
        <w:rPr>
          <w:b/>
        </w:rPr>
        <w:t>ЭКСКУРСИИ.</w:t>
      </w:r>
      <w:r>
        <w:t xml:space="preserve"> </w:t>
      </w:r>
    </w:p>
    <w:p w14:paraId="5D6C4FEE" w14:textId="77777777" w:rsidR="00CF405F" w:rsidRDefault="00CF405F" w:rsidP="00CF405F">
      <w:r>
        <w:t>Проведение некоторых экскурсий зависит от погодных условий и набора группы.</w:t>
      </w:r>
    </w:p>
    <w:p w14:paraId="1F435247" w14:textId="77777777" w:rsidR="00CF405F" w:rsidRDefault="00CF405F" w:rsidP="00CF405F">
      <w:pPr>
        <w:pStyle w:val="ae"/>
        <w:numPr>
          <w:ilvl w:val="0"/>
          <w:numId w:val="2"/>
        </w:numPr>
      </w:pPr>
      <w:r>
        <w:t xml:space="preserve">Обзорная экскурсия по Барселоне </w:t>
      </w:r>
    </w:p>
    <w:p w14:paraId="74B82816" w14:textId="77777777" w:rsidR="00CF405F" w:rsidRDefault="00CF405F" w:rsidP="00CF405F">
      <w:pPr>
        <w:pStyle w:val="ae"/>
        <w:numPr>
          <w:ilvl w:val="0"/>
          <w:numId w:val="2"/>
        </w:numPr>
      </w:pPr>
      <w:r>
        <w:t xml:space="preserve">Экскурсия в </w:t>
      </w:r>
      <w:r w:rsidRPr="00683EBB">
        <w:t>Монсеррат</w:t>
      </w:r>
      <w:r>
        <w:t xml:space="preserve"> </w:t>
      </w:r>
    </w:p>
    <w:p w14:paraId="57E6B9F8" w14:textId="77777777" w:rsidR="00CF405F" w:rsidRDefault="00CF405F" w:rsidP="00CF405F">
      <w:pPr>
        <w:pStyle w:val="ae"/>
        <w:numPr>
          <w:ilvl w:val="0"/>
          <w:numId w:val="2"/>
        </w:numPr>
      </w:pPr>
      <w:r>
        <w:t xml:space="preserve">Экскурсия в </w:t>
      </w:r>
      <w:r w:rsidR="00392D00">
        <w:t>город-крепость Каркасон</w:t>
      </w:r>
    </w:p>
    <w:p w14:paraId="4979412D" w14:textId="77777777" w:rsidR="00CF405F" w:rsidRDefault="00CF405F" w:rsidP="00CF405F">
      <w:pPr>
        <w:pStyle w:val="ae"/>
        <w:numPr>
          <w:ilvl w:val="0"/>
          <w:numId w:val="2"/>
        </w:numPr>
      </w:pPr>
      <w:r>
        <w:t xml:space="preserve">Экскурсия в </w:t>
      </w:r>
      <w:r w:rsidR="005F4AA5">
        <w:t>эко-парк «</w:t>
      </w:r>
      <w:proofErr w:type="spellStart"/>
      <w:r w:rsidR="005F4AA5">
        <w:t>Натурландия</w:t>
      </w:r>
      <w:proofErr w:type="spellEnd"/>
      <w:r w:rsidR="005F4AA5">
        <w:t>»</w:t>
      </w:r>
    </w:p>
    <w:p w14:paraId="4BC62C45" w14:textId="77777777" w:rsidR="00CF405F" w:rsidRDefault="00CF405F" w:rsidP="00CF405F">
      <w:pPr>
        <w:pStyle w:val="ae"/>
        <w:numPr>
          <w:ilvl w:val="0"/>
          <w:numId w:val="2"/>
        </w:numPr>
      </w:pPr>
      <w:r>
        <w:t xml:space="preserve">Экскурсия </w:t>
      </w:r>
      <w:r w:rsidR="005F4AA5">
        <w:t xml:space="preserve">к термальным источникам </w:t>
      </w:r>
      <w:proofErr w:type="spellStart"/>
      <w:r w:rsidR="005F4AA5">
        <w:t>Кальдея</w:t>
      </w:r>
      <w:proofErr w:type="spellEnd"/>
    </w:p>
    <w:p w14:paraId="0C9D3381" w14:textId="77777777" w:rsidR="00CF405F" w:rsidRPr="00B05F5B" w:rsidRDefault="00CF405F" w:rsidP="00CF405F">
      <w:pPr>
        <w:pStyle w:val="ae"/>
        <w:rPr>
          <w:b/>
        </w:rPr>
      </w:pPr>
    </w:p>
    <w:p w14:paraId="05CD8694" w14:textId="77777777" w:rsidR="00CF405F" w:rsidRPr="006476BC" w:rsidRDefault="00CF405F" w:rsidP="00CF405F">
      <w:pPr>
        <w:rPr>
          <w:bCs/>
          <w:color w:val="000000"/>
        </w:rPr>
      </w:pPr>
    </w:p>
    <w:p w14:paraId="38B07D69" w14:textId="77777777" w:rsidR="00CF405F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14:paraId="65C7EDF9" w14:textId="77777777" w:rsidR="00292B94" w:rsidRPr="00CF405F" w:rsidRDefault="00292B94" w:rsidP="00CF405F"/>
    <w:sectPr w:rsidR="00292B94" w:rsidRPr="00CF405F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E9509" w14:textId="77777777" w:rsidR="00E858FC" w:rsidRDefault="00E858FC" w:rsidP="00F92B3B">
      <w:pPr>
        <w:spacing w:after="0" w:line="240" w:lineRule="auto"/>
      </w:pPr>
      <w:r>
        <w:separator/>
      </w:r>
    </w:p>
  </w:endnote>
  <w:endnote w:type="continuationSeparator" w:id="0">
    <w:p w14:paraId="6A3F8DFE" w14:textId="77777777" w:rsidR="00E858FC" w:rsidRDefault="00E858FC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8148" w14:textId="77777777" w:rsidR="00F92B3B" w:rsidRDefault="009A0855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2AB85C" wp14:editId="64EF7ABC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56E44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513B" w14:textId="77777777" w:rsidR="00E858FC" w:rsidRDefault="00E858FC" w:rsidP="00F92B3B">
      <w:pPr>
        <w:spacing w:after="0" w:line="240" w:lineRule="auto"/>
      </w:pPr>
      <w:r>
        <w:separator/>
      </w:r>
    </w:p>
  </w:footnote>
  <w:footnote w:type="continuationSeparator" w:id="0">
    <w:p w14:paraId="18FC4AB8" w14:textId="77777777" w:rsidR="00E858FC" w:rsidRDefault="00E858FC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0D80" w14:textId="77777777" w:rsidR="005E7729" w:rsidRDefault="005E7729" w:rsidP="00A26557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3116" behindDoc="1" locked="0" layoutInCell="1" allowOverlap="1" wp14:anchorId="21F6A5F7" wp14:editId="0E49C582">
          <wp:simplePos x="0" y="0"/>
          <wp:positionH relativeFrom="column">
            <wp:posOffset>-710565</wp:posOffset>
          </wp:positionH>
          <wp:positionV relativeFrom="paragraph">
            <wp:posOffset>-267335</wp:posOffset>
          </wp:positionV>
          <wp:extent cx="7229475" cy="1301524"/>
          <wp:effectExtent l="0" t="0" r="0" b="0"/>
          <wp:wrapNone/>
          <wp:docPr id="2" name="Рисунок 2" descr="H:\WORK\!WEB-2015\!памятки\Андорра\Ando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Андорра\Andor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301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79E648" w14:textId="77777777" w:rsidR="00F92B3B" w:rsidRPr="00A26557" w:rsidRDefault="00292B94" w:rsidP="00A26557">
    <w:pPr>
      <w:pStyle w:val="a3"/>
    </w:pPr>
    <w:r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15CBD"/>
    <w:rsid w:val="00032DE1"/>
    <w:rsid w:val="00056C16"/>
    <w:rsid w:val="0007149E"/>
    <w:rsid w:val="00082D63"/>
    <w:rsid w:val="000D18F4"/>
    <w:rsid w:val="001619F5"/>
    <w:rsid w:val="0017296B"/>
    <w:rsid w:val="001A55FA"/>
    <w:rsid w:val="001C47E0"/>
    <w:rsid w:val="001D5E82"/>
    <w:rsid w:val="001E28EF"/>
    <w:rsid w:val="001F3741"/>
    <w:rsid w:val="002136F7"/>
    <w:rsid w:val="00216CA1"/>
    <w:rsid w:val="00220866"/>
    <w:rsid w:val="00225B02"/>
    <w:rsid w:val="00232C8A"/>
    <w:rsid w:val="002331A2"/>
    <w:rsid w:val="00264B22"/>
    <w:rsid w:val="00271535"/>
    <w:rsid w:val="00280A37"/>
    <w:rsid w:val="00292B94"/>
    <w:rsid w:val="00302D8B"/>
    <w:rsid w:val="0031188C"/>
    <w:rsid w:val="003356E4"/>
    <w:rsid w:val="00360814"/>
    <w:rsid w:val="00387B1D"/>
    <w:rsid w:val="00392D00"/>
    <w:rsid w:val="003B419B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729"/>
    <w:rsid w:val="005E7DB7"/>
    <w:rsid w:val="005F4AA5"/>
    <w:rsid w:val="00625CA6"/>
    <w:rsid w:val="00693F32"/>
    <w:rsid w:val="006A279E"/>
    <w:rsid w:val="006D08FE"/>
    <w:rsid w:val="006F5EED"/>
    <w:rsid w:val="00724DDB"/>
    <w:rsid w:val="00736F89"/>
    <w:rsid w:val="0075410B"/>
    <w:rsid w:val="007666B2"/>
    <w:rsid w:val="007C2D1B"/>
    <w:rsid w:val="007D1DB6"/>
    <w:rsid w:val="007E276D"/>
    <w:rsid w:val="007E60DE"/>
    <w:rsid w:val="00827DFF"/>
    <w:rsid w:val="00844001"/>
    <w:rsid w:val="0087227D"/>
    <w:rsid w:val="00882FBA"/>
    <w:rsid w:val="008B53E6"/>
    <w:rsid w:val="008B6618"/>
    <w:rsid w:val="008C6BC6"/>
    <w:rsid w:val="008E0101"/>
    <w:rsid w:val="008F3706"/>
    <w:rsid w:val="0090561C"/>
    <w:rsid w:val="009143E6"/>
    <w:rsid w:val="009234FC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A0497"/>
    <w:rsid w:val="00B25B19"/>
    <w:rsid w:val="00B56C03"/>
    <w:rsid w:val="00B56D9F"/>
    <w:rsid w:val="00BB4EA7"/>
    <w:rsid w:val="00BD13CF"/>
    <w:rsid w:val="00BE3C4E"/>
    <w:rsid w:val="00BF0DED"/>
    <w:rsid w:val="00BF61A6"/>
    <w:rsid w:val="00C05572"/>
    <w:rsid w:val="00C06940"/>
    <w:rsid w:val="00C7102B"/>
    <w:rsid w:val="00CA7AC3"/>
    <w:rsid w:val="00CC03ED"/>
    <w:rsid w:val="00CF405F"/>
    <w:rsid w:val="00CF700A"/>
    <w:rsid w:val="00CF75D4"/>
    <w:rsid w:val="00D17DC1"/>
    <w:rsid w:val="00D32E27"/>
    <w:rsid w:val="00D53104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76D25"/>
    <w:rsid w:val="00E858FC"/>
    <w:rsid w:val="00E939C2"/>
    <w:rsid w:val="00EB1CDC"/>
    <w:rsid w:val="00ED23F7"/>
    <w:rsid w:val="00ED2519"/>
    <w:rsid w:val="00EE0E7D"/>
    <w:rsid w:val="00F04807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CE63F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99C6-3C5C-412C-BE68-6D335764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Ivan Lysak</cp:lastModifiedBy>
  <cp:revision>6</cp:revision>
  <dcterms:created xsi:type="dcterms:W3CDTF">2016-11-14T11:06:00Z</dcterms:created>
  <dcterms:modified xsi:type="dcterms:W3CDTF">2019-12-16T13:12:00Z</dcterms:modified>
</cp:coreProperties>
</file>