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uk-UA"/>
        </w:rPr>
      </w:pPr>
    </w:p>
    <w:p w:rsid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Хорватії (а/п </w:t>
      </w:r>
      <w:proofErr w:type="spellStart"/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Пула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884B18" w:rsidRP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884B18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884B18" w:rsidRDefault="00BF3649" w:rsidP="00884B18">
      <w:pPr>
        <w:pStyle w:val="a6"/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884B18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884B18" w:rsidRDefault="00BF3649" w:rsidP="00884B18">
      <w:pPr>
        <w:shd w:val="clear" w:color="auto" w:fill="FFFFFF"/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Pr="00884B18" w:rsidRDefault="00BF3649" w:rsidP="00884B18">
      <w:pPr>
        <w:shd w:val="clear" w:color="auto" w:fill="FFFFFF"/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884B18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інформацію  про неподання туроператором статистичного звіту до органу ліцензування;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(Дати туру)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- виліт з КИЄВА  о </w:t>
      </w:r>
      <w:r w:rsidRPr="00884B1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884B1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884B18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Реєстрація на рейс в аеропорту Бориспіль (Термінал F) </w:t>
      </w: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міста Київ 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починається  </w:t>
      </w: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Ви повинні самостійно зареєструватися на відповідний рейс, пройти митний і паспортний контроль.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4.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4.2 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884B18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</w:p>
    <w:p w:rsidR="00BF3649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884B18" w:rsidRP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Трансфер в аеропорт м. </w:t>
      </w:r>
      <w:proofErr w:type="spellStart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>Пула</w:t>
      </w:r>
      <w:proofErr w:type="spellEnd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Виліт з а/п м. </w:t>
      </w:r>
      <w:proofErr w:type="spellStart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>Пула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рейсом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авіакомпанії </w:t>
      </w:r>
      <w:proofErr w:type="spellStart"/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Прибуття у місто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Київ.</w:t>
      </w:r>
    </w:p>
    <w:p w:rsidR="00CD6E94" w:rsidRPr="00884B18" w:rsidRDefault="00CD6E94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884B18" w:rsidRPr="00884B18" w:rsidRDefault="00884B18" w:rsidP="00884B1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884B18" w:rsidRDefault="00613ACB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884B18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1B4408" w:rsidRPr="00884B18" w:rsidRDefault="001B440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При в'їзді в Хорватію пасажири можуть ввозити (не обкладаються митом):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884B18" w:rsidRDefault="00BF3649" w:rsidP="00884B18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1A063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Переконливо просимо Вас повідомити представнику </w:t>
      </w:r>
      <w:proofErr w:type="spellStart"/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компанії«APPLICON</w:t>
      </w:r>
      <w:proofErr w:type="spellEnd"/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 TOURS TA» про будь-які зміни:</w:t>
      </w:r>
      <w:r w:rsidR="00BF3649" w:rsidRPr="00884B18">
        <w:rPr>
          <w:rFonts w:eastAsia="Times New Roman" w:cs="Arial"/>
          <w:b/>
          <w:bCs/>
          <w:sz w:val="24"/>
          <w:szCs w:val="24"/>
          <w:lang w:eastAsia="uk-UA"/>
        </w:rPr>
        <w:t> </w:t>
      </w:r>
    </w:p>
    <w:p w:rsidR="001A0632" w:rsidRPr="00884B18" w:rsidRDefault="001A0632" w:rsidP="00884B18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зміну рейсу.</w:t>
      </w:r>
    </w:p>
    <w:p w:rsidR="001A0632" w:rsidRPr="00884B18" w:rsidRDefault="001A0632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bookmarkStart w:id="0" w:name="_GoBack"/>
      <w:r w:rsidRPr="00E63945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0CD389AD" wp14:editId="2A5578B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219700" cy="36957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63945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 wp14:anchorId="140BE135" wp14:editId="26CB5E70">
            <wp:simplePos x="0" y="0"/>
            <wp:positionH relativeFrom="margin">
              <wp:posOffset>227330</wp:posOffset>
            </wp:positionH>
            <wp:positionV relativeFrom="paragraph">
              <wp:posOffset>117475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945" w:rsidRP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FFFFFF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 </w:t>
      </w:r>
      <w:r w:rsidR="00E63945">
        <w:rPr>
          <w:rFonts w:eastAsia="Times New Roman" w:cs="Arial"/>
          <w:b/>
          <w:bCs/>
          <w:color w:val="FFFFFF"/>
          <w:sz w:val="24"/>
          <w:szCs w:val="24"/>
          <w:lang w:val="en-US" w:eastAsia="uk-UA"/>
        </w:rPr>
        <w:t xml:space="preserve">             </w:t>
      </w:r>
      <w:r w:rsidR="00EA5CF9" w:rsidRPr="00E63945">
        <w:rPr>
          <w:rFonts w:eastAsia="Times New Roman" w:cs="Arial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63945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FF0000"/>
          <w:sz w:val="24"/>
          <w:szCs w:val="24"/>
          <w:lang w:eastAsia="uk-UA"/>
        </w:rPr>
      </w:pPr>
    </w:p>
    <w:p w:rsidR="00EA5CF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884B18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>
        <w:rPr>
          <w:rFonts w:eastAsia="Times New Roman" w:cs="Arial"/>
          <w:b/>
          <w:bCs/>
          <w:color w:val="FF0000"/>
          <w:sz w:val="24"/>
          <w:szCs w:val="24"/>
          <w:lang w:val="en-US" w:eastAsia="uk-UA"/>
        </w:rPr>
        <w:t>303 9 303</w:t>
      </w:r>
      <w:r w:rsidR="00EA5CF9"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884B18" w:rsidRDefault="00EA5CF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F42E71" w:rsidRPr="00884B18" w:rsidRDefault="00F42E71" w:rsidP="00E63945">
      <w:pPr>
        <w:spacing w:after="0"/>
        <w:ind w:left="360"/>
        <w:jc w:val="both"/>
      </w:pPr>
      <w:r w:rsidRPr="00884B18">
        <w:rPr>
          <w:b/>
          <w:bCs/>
          <w:color w:val="FF0000"/>
        </w:rPr>
        <w:t>КУРОРТЫ и ОТЕЛИ РЕГИОНА ИСТРИИ</w:t>
      </w:r>
      <w:r w:rsidRPr="00884B18">
        <w:rPr>
          <w:b/>
          <w:bCs/>
          <w:color w:val="FF0000"/>
          <w:lang w:val="hr-HR"/>
        </w:rPr>
        <w:t>:</w:t>
      </w:r>
    </w:p>
    <w:p w:rsidR="00F42E71" w:rsidRPr="00E63945" w:rsidRDefault="00F42E71" w:rsidP="00E63945">
      <w:pPr>
        <w:spacing w:after="0"/>
        <w:ind w:left="360"/>
        <w:jc w:val="both"/>
      </w:pPr>
      <w:r w:rsidRPr="00E63945">
        <w:rPr>
          <w:b/>
          <w:bCs/>
          <w:lang w:val="hr-HR"/>
        </w:rPr>
        <w:t>ПРЕДСТАВИТЕЛЬ  MAPИHA: +385 91 2446 121</w:t>
      </w:r>
    </w:p>
    <w:p w:rsidR="00F42E71" w:rsidRPr="00884B18" w:rsidRDefault="00F42E71" w:rsidP="00E63945">
      <w:pPr>
        <w:spacing w:after="0"/>
        <w:ind w:left="360"/>
        <w:jc w:val="both"/>
      </w:pPr>
      <w:r w:rsidRPr="00884B18">
        <w:rPr>
          <w:b/>
          <w:bCs/>
          <w:color w:val="0070C0"/>
        </w:rPr>
        <w:t xml:space="preserve">Готелі: </w:t>
      </w:r>
      <w:r w:rsidRPr="00884B18">
        <w:rPr>
          <w:b/>
          <w:bCs/>
          <w:color w:val="0070C0"/>
          <w:lang w:val="hr-HR"/>
        </w:rPr>
        <w:t>Porec Plava Laguna hotels &amp; Porec Valamar hotels</w:t>
      </w:r>
    </w:p>
    <w:p w:rsidR="00F42E71" w:rsidRPr="00E63945" w:rsidRDefault="00F42E71" w:rsidP="00E63945">
      <w:pPr>
        <w:spacing w:after="0"/>
        <w:ind w:left="360"/>
        <w:jc w:val="both"/>
        <w:rPr>
          <w:lang w:val="en-US"/>
        </w:rPr>
      </w:pPr>
      <w:r w:rsidRPr="00E63945">
        <w:rPr>
          <w:b/>
          <w:bCs/>
          <w:lang w:val="hr-HR"/>
        </w:rPr>
        <w:t> ПРЕДСТАВИТЕЛЬ</w:t>
      </w:r>
      <w:r w:rsidRPr="00E63945">
        <w:rPr>
          <w:b/>
          <w:bCs/>
          <w:lang w:val="en-US"/>
        </w:rPr>
        <w:t xml:space="preserve">  </w:t>
      </w:r>
      <w:r w:rsidRPr="00E63945">
        <w:rPr>
          <w:b/>
          <w:bCs/>
          <w:lang w:val="hr-HR"/>
        </w:rPr>
        <w:t>КАТЙА : +385 91 2446 151</w:t>
      </w:r>
    </w:p>
    <w:p w:rsidR="00F42E71" w:rsidRPr="00884B18" w:rsidRDefault="00F42E71" w:rsidP="00E63945">
      <w:pPr>
        <w:spacing w:after="0"/>
        <w:ind w:left="360"/>
        <w:jc w:val="both"/>
        <w:rPr>
          <w:lang w:val="en-US"/>
        </w:rPr>
      </w:pPr>
      <w:r w:rsidRPr="00884B18">
        <w:rPr>
          <w:b/>
          <w:bCs/>
          <w:color w:val="0070C0"/>
        </w:rPr>
        <w:t xml:space="preserve">Готелі: </w:t>
      </w:r>
      <w:r w:rsidRPr="00884B18">
        <w:rPr>
          <w:b/>
          <w:bCs/>
          <w:color w:val="0070C0"/>
          <w:lang w:val="hr-HR"/>
        </w:rPr>
        <w:t>Pula and Medulin hotels and resorts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E63945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884B18">
        <w:rPr>
          <w:rFonts w:eastAsia="Times New Roman" w:cs="Arial"/>
          <w:color w:val="222222"/>
          <w:sz w:val="24"/>
          <w:szCs w:val="24"/>
          <w:lang w:eastAsia="uk-UA"/>
        </w:rPr>
        <w:t>:</w:t>
      </w:r>
    </w:p>
    <w:p w:rsidR="00E63945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асистентської компанії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r w:rsidR="00BF3649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I.M. </w:t>
      </w:r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«NOVA ASSISTANCE», </w:t>
      </w:r>
    </w:p>
    <w:p w:rsid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884B1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62125A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884B18" w:rsidRDefault="0062125A" w:rsidP="00E6394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884B18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 </w:t>
      </w:r>
    </w:p>
    <w:p w:rsidR="00BF3649" w:rsidRPr="00E63945" w:rsidRDefault="0062125A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Додаткова інформація</w:t>
      </w:r>
      <w:r w:rsidR="00BF3649"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884B18" w:rsidRDefault="0062125A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884B18" w:rsidRDefault="0062125A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884B18" w:rsidRDefault="006E22D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6E22D2" w:rsidRPr="00884B18" w:rsidRDefault="006E22D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884B18" w:rsidRDefault="00934E26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884B18" w:rsidRDefault="00107CF1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Visa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E63945" w:rsidRDefault="00E63945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884B18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884B18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884B18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E63945" w:rsidRDefault="00E63945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884B18">
        <w:rPr>
          <w:rFonts w:eastAsia="Times New Roman" w:cs="Arial"/>
          <w:color w:val="222222"/>
          <w:lang w:eastAsia="uk-UA"/>
        </w:rPr>
        <w:t>оплачувати самостійно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884B18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</w:p>
    <w:p w:rsidR="00036647" w:rsidRPr="00884B18" w:rsidRDefault="00036647" w:rsidP="00E63945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884B18" w:rsidRDefault="003B641F" w:rsidP="00884B18">
      <w:pPr>
        <w:spacing w:after="0"/>
        <w:jc w:val="both"/>
      </w:pPr>
    </w:p>
    <w:sectPr w:rsidR="003B641F" w:rsidRPr="00884B18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91" w:rsidRDefault="00991291" w:rsidP="00884B18">
      <w:pPr>
        <w:spacing w:after="0" w:line="240" w:lineRule="auto"/>
      </w:pPr>
      <w:r>
        <w:separator/>
      </w:r>
    </w:p>
  </w:endnote>
  <w:endnote w:type="continuationSeparator" w:id="0">
    <w:p w:rsidR="00991291" w:rsidRDefault="00991291" w:rsidP="008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8" w:rsidRDefault="00884B18">
    <w:pPr>
      <w:pStyle w:val="a9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6386B06" wp14:editId="7D6EA250">
          <wp:simplePos x="0" y="0"/>
          <wp:positionH relativeFrom="margin">
            <wp:posOffset>-200025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91" w:rsidRDefault="00991291" w:rsidP="00884B18">
      <w:pPr>
        <w:spacing w:after="0" w:line="240" w:lineRule="auto"/>
      </w:pPr>
      <w:r>
        <w:separator/>
      </w:r>
    </w:p>
  </w:footnote>
  <w:footnote w:type="continuationSeparator" w:id="0">
    <w:p w:rsidR="00991291" w:rsidRDefault="00991291" w:rsidP="008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8" w:rsidRDefault="00884B18" w:rsidP="00884B18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inline distT="0" distB="0" distL="0" distR="0" wp14:anchorId="1930FF68" wp14:editId="07C2F40E">
          <wp:extent cx="1647825" cy="1133475"/>
          <wp:effectExtent l="0" t="0" r="9525" b="9525"/>
          <wp:docPr id="5" name="Рисунок 5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E51"/>
    <w:multiLevelType w:val="hybridMultilevel"/>
    <w:tmpl w:val="CCB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30A6"/>
    <w:multiLevelType w:val="hybridMultilevel"/>
    <w:tmpl w:val="17D80EA0"/>
    <w:lvl w:ilvl="0" w:tplc="73343694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D464F0"/>
    <w:multiLevelType w:val="hybridMultilevel"/>
    <w:tmpl w:val="1D6E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7A3B"/>
    <w:multiLevelType w:val="hybridMultilevel"/>
    <w:tmpl w:val="F73C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482"/>
    <w:multiLevelType w:val="hybridMultilevel"/>
    <w:tmpl w:val="9EE05F36"/>
    <w:lvl w:ilvl="0" w:tplc="B2D879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D445A8"/>
    <w:multiLevelType w:val="hybridMultilevel"/>
    <w:tmpl w:val="21145F04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7AC"/>
    <w:multiLevelType w:val="hybridMultilevel"/>
    <w:tmpl w:val="41F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1FB3"/>
    <w:multiLevelType w:val="hybridMultilevel"/>
    <w:tmpl w:val="B7A8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AA4434"/>
    <w:multiLevelType w:val="hybridMultilevel"/>
    <w:tmpl w:val="7122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38101D"/>
    <w:multiLevelType w:val="hybridMultilevel"/>
    <w:tmpl w:val="C3C4F1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36647"/>
    <w:rsid w:val="00063FA1"/>
    <w:rsid w:val="00107CF1"/>
    <w:rsid w:val="0012418E"/>
    <w:rsid w:val="001A0632"/>
    <w:rsid w:val="001B4408"/>
    <w:rsid w:val="003B641F"/>
    <w:rsid w:val="00613ACB"/>
    <w:rsid w:val="0062125A"/>
    <w:rsid w:val="006E22D2"/>
    <w:rsid w:val="00884B18"/>
    <w:rsid w:val="00916E6C"/>
    <w:rsid w:val="00934E26"/>
    <w:rsid w:val="00935AEA"/>
    <w:rsid w:val="00991291"/>
    <w:rsid w:val="00B51E43"/>
    <w:rsid w:val="00B77F73"/>
    <w:rsid w:val="00BF3649"/>
    <w:rsid w:val="00CB1129"/>
    <w:rsid w:val="00CD6E94"/>
    <w:rsid w:val="00D03EBA"/>
    <w:rsid w:val="00E63945"/>
    <w:rsid w:val="00EA5CF9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5473"/>
  <w15:docId w15:val="{9031B12E-3166-4438-B83D-E3A589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B18"/>
  </w:style>
  <w:style w:type="paragraph" w:styleId="a9">
    <w:name w:val="footer"/>
    <w:basedOn w:val="a"/>
    <w:link w:val="aa"/>
    <w:uiPriority w:val="99"/>
    <w:unhideWhenUsed/>
    <w:rsid w:val="0088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Наталия Рыбий</cp:lastModifiedBy>
  <cp:revision>4</cp:revision>
  <dcterms:created xsi:type="dcterms:W3CDTF">2019-07-05T11:02:00Z</dcterms:created>
  <dcterms:modified xsi:type="dcterms:W3CDTF">2019-07-05T12:02:00Z</dcterms:modified>
</cp:coreProperties>
</file>