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5F" w:rsidRPr="006476BC" w:rsidRDefault="00CF405F" w:rsidP="00CF405F">
      <w:pPr>
        <w:jc w:val="center"/>
        <w:rPr>
          <w:b/>
          <w:bCs/>
          <w:color w:val="000000"/>
        </w:rPr>
      </w:pPr>
      <w:bookmarkStart w:id="0" w:name="_GoBack"/>
      <w:bookmarkEnd w:id="0"/>
      <w:r w:rsidRPr="006476BC">
        <w:rPr>
          <w:b/>
          <w:bCs/>
          <w:color w:val="000000"/>
        </w:rPr>
        <w:t>УВАЖАЕМЫЕ ТУРИСТЫ!</w:t>
      </w:r>
    </w:p>
    <w:p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CF405F" w:rsidRPr="004E4AF4" w:rsidRDefault="00CF405F" w:rsidP="00CF405F">
      <w:pPr>
        <w:jc w:val="center"/>
        <w:rPr>
          <w:b/>
          <w:bCs/>
          <w:color w:val="000000"/>
        </w:rPr>
      </w:pPr>
      <w:r>
        <w:rPr>
          <w:b/>
          <w:bCs/>
          <w:color w:val="000000"/>
        </w:rPr>
        <w:t>ИСПАНИЯ</w:t>
      </w:r>
    </w:p>
    <w:p w:rsidR="00CF405F" w:rsidRPr="006476BC" w:rsidRDefault="00CF405F" w:rsidP="00CF405F">
      <w:pPr>
        <w:jc w:val="center"/>
        <w:rPr>
          <w:bCs/>
          <w:color w:val="000000"/>
        </w:rPr>
      </w:pPr>
      <w:r w:rsidRPr="006476BC">
        <w:rPr>
          <w:bCs/>
          <w:color w:val="000000"/>
          <w:highlight w:val="yellow"/>
        </w:rPr>
        <w:t>(Даты тура)</w:t>
      </w:r>
    </w:p>
    <w:p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CF405F" w:rsidRPr="00CF405F" w:rsidRDefault="00CF405F" w:rsidP="00CF405F">
      <w:pPr>
        <w:pStyle w:val="ac"/>
        <w:ind w:left="0"/>
        <w:rPr>
          <w:rFonts w:ascii="Calibri" w:hAnsi="Calibri" w:cs="Arial"/>
          <w:sz w:val="22"/>
          <w:szCs w:val="22"/>
        </w:rPr>
      </w:pPr>
    </w:p>
    <w:p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rsidR="009234FC" w:rsidRDefault="009234FC" w:rsidP="00CF405F">
      <w:pPr>
        <w:rPr>
          <w:rFonts w:cs="Arial"/>
          <w:lang w:val="uk-UA"/>
        </w:rPr>
      </w:pPr>
    </w:p>
    <w:p w:rsidR="00CF405F" w:rsidRDefault="00CF405F" w:rsidP="00CF405F">
      <w:pPr>
        <w:rPr>
          <w:rFonts w:cs="Arial"/>
          <w:lang w:val="uk-UA"/>
        </w:rPr>
      </w:pPr>
    </w:p>
    <w:p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353D63">
        <w:rPr>
          <w:lang w:val="en-US"/>
        </w:rPr>
        <w:t>Itravex</w:t>
      </w:r>
      <w:r>
        <w:t xml:space="preserve"> </w:t>
      </w:r>
      <w:r w:rsidRPr="00011718">
        <w:t xml:space="preserve">с табличкой </w:t>
      </w:r>
      <w:r>
        <w:t>«</w:t>
      </w:r>
      <w:r>
        <w:rPr>
          <w:lang w:val="en-US"/>
        </w:rPr>
        <w:t>JoinUP</w:t>
      </w:r>
      <w:r w:rsidRPr="00011718">
        <w:t>!</w:t>
      </w:r>
      <w:r>
        <w:t>»</w:t>
      </w:r>
    </w:p>
    <w:p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rsidR="00CF405F" w:rsidRPr="006476BC" w:rsidRDefault="00CF405F" w:rsidP="00CF405F">
      <w:pPr>
        <w:pStyle w:val="Default"/>
        <w:rPr>
          <w:rFonts w:ascii="Calibri" w:hAnsi="Calibri" w:cs="Times New Roman"/>
          <w:bCs/>
          <w:sz w:val="22"/>
          <w:szCs w:val="22"/>
        </w:rPr>
      </w:pPr>
    </w:p>
    <w:p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rsidR="00CF405F" w:rsidRDefault="00CF405F"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CF405F" w:rsidRDefault="00CF405F" w:rsidP="00CF405F"/>
    <w:p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005E6559" w:rsidRPr="005E6559">
        <w:rPr>
          <w:rFonts w:cs="Arial"/>
          <w:b/>
        </w:rPr>
        <w:t>10</w:t>
      </w:r>
      <w:r w:rsidRPr="005E6559">
        <w:rPr>
          <w:rFonts w:cs="Arial"/>
          <w:b/>
        </w:rPr>
        <w:t>:00</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rsidR="00CF405F" w:rsidRPr="006476BC" w:rsidRDefault="00CF405F" w:rsidP="00CF405F">
      <w:pPr>
        <w:pStyle w:val="Default"/>
        <w:jc w:val="both"/>
        <w:rPr>
          <w:rFonts w:ascii="Calibri" w:hAnsi="Calibri" w:cs="Times New Roman"/>
          <w:sz w:val="22"/>
          <w:szCs w:val="22"/>
        </w:rPr>
      </w:pPr>
    </w:p>
    <w:p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CF405F" w:rsidRPr="004E4AF4" w:rsidRDefault="00CF405F" w:rsidP="00CF405F">
      <w:pPr>
        <w:pStyle w:val="Default"/>
        <w:jc w:val="both"/>
        <w:rPr>
          <w:rFonts w:ascii="Calibri" w:hAnsi="Calibri" w:cs="Times New Roman"/>
          <w:sz w:val="22"/>
          <w:szCs w:val="22"/>
        </w:rPr>
      </w:pPr>
    </w:p>
    <w:p w:rsidR="00CF405F" w:rsidRDefault="00CF405F" w:rsidP="00CF405F">
      <w:r w:rsidRPr="004E4AF4">
        <w:rPr>
          <w:b/>
        </w:rPr>
        <w:t>Правила таможни.</w:t>
      </w:r>
      <w:r>
        <w:t xml:space="preserve"> Ввоз-вывоз валюты</w:t>
      </w:r>
    </w:p>
    <w:p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rsidR="009234FC" w:rsidRDefault="009234FC"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CF405F" w:rsidRPr="00015CBD" w:rsidRDefault="00CF405F" w:rsidP="00015CBD">
      <w:pPr>
        <w:jc w:val="center"/>
        <w:rPr>
          <w:b/>
          <w:bCs/>
        </w:rPr>
      </w:pPr>
      <w:r w:rsidRPr="006476BC">
        <w:rPr>
          <w:b/>
        </w:rPr>
        <w:lastRenderedPageBreak/>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CF405F" w:rsidRDefault="00CF405F" w:rsidP="00CF405F">
      <w:pPr>
        <w:jc w:val="both"/>
        <w:rPr>
          <w:color w:val="000000"/>
        </w:rPr>
      </w:pPr>
      <w:r w:rsidRPr="006476BC">
        <w:rPr>
          <w:color w:val="000000"/>
        </w:rPr>
        <w:t xml:space="preserve">4. изменение рейса. </w:t>
      </w:r>
    </w:p>
    <w:p w:rsidR="00CF405F" w:rsidRPr="006476BC" w:rsidRDefault="00CF405F" w:rsidP="00CF405F">
      <w:pPr>
        <w:pStyle w:val="Default"/>
        <w:jc w:val="center"/>
        <w:rPr>
          <w:rFonts w:ascii="Calibri" w:hAnsi="Calibri" w:cs="Times New Roman"/>
          <w:b/>
          <w:bCs/>
          <w:iCs/>
          <w:sz w:val="22"/>
          <w:szCs w:val="22"/>
        </w:rPr>
      </w:pPr>
    </w:p>
    <w:p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2265000D" wp14:editId="17BFC1ED">
            <wp:simplePos x="0" y="0"/>
            <wp:positionH relativeFrom="margin">
              <wp:posOffset>-215265</wp:posOffset>
            </wp:positionH>
            <wp:positionV relativeFrom="paragraph">
              <wp:posOffset>120015</wp:posOffset>
            </wp:positionV>
            <wp:extent cx="4991100" cy="3714750"/>
            <wp:effectExtent l="0" t="0" r="0" b="0"/>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27F545A" wp14:editId="59D3BD76">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rsidR="00CF405F" w:rsidRDefault="00CF405F" w:rsidP="00CF405F">
      <w:pPr>
        <w:spacing w:after="0" w:line="240" w:lineRule="auto"/>
        <w:rPr>
          <w:b/>
          <w:bCs/>
          <w:color w:val="FF0000"/>
        </w:rPr>
      </w:pPr>
    </w:p>
    <w:p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rsidR="007E373B" w:rsidRPr="00CF405F" w:rsidRDefault="00CF405F" w:rsidP="007E373B">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EE28F2">
        <w:rPr>
          <w:b/>
          <w:bCs/>
          <w:iCs/>
          <w:lang w:val="en-US"/>
        </w:rPr>
        <w:t>ITravex</w:t>
      </w:r>
      <w:r w:rsidR="007E373B">
        <w:rPr>
          <w:b/>
          <w:bCs/>
          <w:iCs/>
        </w:rPr>
        <w:t xml:space="preserve"> </w:t>
      </w:r>
      <w:r w:rsidR="007E373B">
        <w:rPr>
          <w:bCs/>
        </w:rPr>
        <w:t>только для экстренной связи.</w:t>
      </w:r>
    </w:p>
    <w:p w:rsidR="00EE28F2" w:rsidRPr="007E373B" w:rsidRDefault="00EE28F2" w:rsidP="00EE28F2">
      <w:pPr>
        <w:spacing w:after="0" w:line="240" w:lineRule="auto"/>
      </w:pPr>
    </w:p>
    <w:p w:rsidR="007E373B" w:rsidRDefault="007E373B" w:rsidP="007E373B">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sidRPr="007E373B">
        <w:rPr>
          <w:rFonts w:asciiTheme="minorHAnsi" w:hAnsiTheme="minorHAnsi" w:cstheme="minorHAnsi"/>
          <w:b/>
          <w:bCs/>
          <w:color w:val="FF0000"/>
        </w:rPr>
        <w:t>+34660426811</w:t>
      </w:r>
    </w:p>
    <w:p w:rsidR="007E373B" w:rsidRDefault="007E373B" w:rsidP="007E373B">
      <w:pPr>
        <w:autoSpaceDE w:val="0"/>
        <w:autoSpaceDN w:val="0"/>
        <w:rPr>
          <w:lang w:val="es-ES"/>
        </w:rPr>
      </w:pPr>
      <w:r>
        <w:rPr>
          <w:rFonts w:ascii="Segoe UI" w:hAnsi="Segoe UI" w:cs="Segoe UI"/>
          <w:b/>
          <w:bCs/>
          <w:sz w:val="17"/>
          <w:szCs w:val="17"/>
        </w:rPr>
        <w:t>ПО ДРУГИМ ВОПРОСАМ СВЯЖИТЕСЬ С ВАШИМ ГИДОМ (24Н):</w:t>
      </w:r>
    </w:p>
    <w:p w:rsidR="007E373B" w:rsidRDefault="007E373B" w:rsidP="007E373B">
      <w:pPr>
        <w:autoSpaceDE w:val="0"/>
        <w:autoSpaceDN w:val="0"/>
        <w:rPr>
          <w:lang w:val="es-ES"/>
        </w:rPr>
      </w:pPr>
      <w:r>
        <w:rPr>
          <w:rFonts w:ascii="Segoe UI" w:hAnsi="Segoe UI" w:cs="Segoe UI"/>
          <w:b/>
          <w:bCs/>
          <w:sz w:val="17"/>
          <w:szCs w:val="17"/>
        </w:rPr>
        <w:t xml:space="preserve">БАРСЕЛОНА: </w:t>
      </w:r>
      <w:r w:rsidRPr="007E373B">
        <w:rPr>
          <w:rFonts w:asciiTheme="minorHAnsi" w:hAnsiTheme="minorHAnsi" w:cstheme="minorHAnsi"/>
          <w:b/>
          <w:bCs/>
          <w:color w:val="FF0000"/>
        </w:rPr>
        <w:t>+34 660426811</w:t>
      </w:r>
    </w:p>
    <w:p w:rsidR="007E373B" w:rsidRDefault="007E373B" w:rsidP="007E373B">
      <w:pPr>
        <w:autoSpaceDE w:val="0"/>
        <w:autoSpaceDN w:val="0"/>
        <w:rPr>
          <w:lang w:val="es-ES"/>
        </w:rPr>
      </w:pPr>
      <w:r>
        <w:rPr>
          <w:rFonts w:ascii="Segoe UI" w:hAnsi="Segoe UI" w:cs="Segoe UI"/>
          <w:b/>
          <w:bCs/>
          <w:sz w:val="17"/>
          <w:szCs w:val="17"/>
        </w:rPr>
        <w:t xml:space="preserve">КОСТА БРАВА: </w:t>
      </w:r>
      <w:r w:rsidRPr="007E373B">
        <w:rPr>
          <w:rFonts w:asciiTheme="minorHAnsi" w:hAnsiTheme="minorHAnsi" w:cstheme="minorHAnsi"/>
          <w:b/>
          <w:bCs/>
          <w:color w:val="FF0000"/>
        </w:rPr>
        <w:t>+34 660426806</w:t>
      </w:r>
    </w:p>
    <w:p w:rsidR="007E373B" w:rsidRDefault="007E373B" w:rsidP="007E373B">
      <w:pPr>
        <w:autoSpaceDE w:val="0"/>
        <w:autoSpaceDN w:val="0"/>
        <w:rPr>
          <w:lang w:val="es-ES"/>
        </w:rPr>
      </w:pPr>
      <w:r>
        <w:rPr>
          <w:rFonts w:ascii="Segoe UI" w:hAnsi="Segoe UI" w:cs="Segoe UI"/>
          <w:b/>
          <w:bCs/>
          <w:sz w:val="17"/>
          <w:szCs w:val="17"/>
        </w:rPr>
        <w:t xml:space="preserve">КОСТА ДОРАДА: </w:t>
      </w:r>
      <w:r w:rsidRPr="007E373B">
        <w:rPr>
          <w:rFonts w:asciiTheme="minorHAnsi" w:hAnsiTheme="minorHAnsi" w:cstheme="minorHAnsi"/>
          <w:b/>
          <w:bCs/>
          <w:color w:val="FF0000"/>
        </w:rPr>
        <w:t>+34 660426805</w:t>
      </w:r>
    </w:p>
    <w:p w:rsidR="007E373B" w:rsidRDefault="007E373B" w:rsidP="007E373B">
      <w:pPr>
        <w:autoSpaceDE w:val="0"/>
        <w:autoSpaceDN w:val="0"/>
        <w:rPr>
          <w:lang w:val="es-ES"/>
        </w:rPr>
      </w:pPr>
      <w:r>
        <w:rPr>
          <w:rFonts w:ascii="Segoe UI" w:hAnsi="Segoe UI" w:cs="Segoe UI"/>
          <w:b/>
          <w:bCs/>
          <w:sz w:val="17"/>
          <w:szCs w:val="17"/>
        </w:rPr>
        <w:t xml:space="preserve">ТЕНЕРИФЕ: </w:t>
      </w:r>
      <w:r w:rsidRPr="007E373B">
        <w:rPr>
          <w:rFonts w:asciiTheme="minorHAnsi" w:hAnsiTheme="minorHAnsi" w:cstheme="minorHAnsi"/>
          <w:b/>
          <w:bCs/>
          <w:color w:val="FF0000"/>
        </w:rPr>
        <w:t>+34 660426802</w:t>
      </w:r>
    </w:p>
    <w:p w:rsidR="00CF405F" w:rsidRPr="00EE28F2" w:rsidRDefault="00CF405F" w:rsidP="00EE28F2">
      <w:pPr>
        <w:spacing w:after="0" w:line="240" w:lineRule="auto"/>
        <w:rPr>
          <w:rFonts w:cs="Arial"/>
        </w:rPr>
      </w:pPr>
    </w:p>
    <w:p w:rsidR="00CF405F" w:rsidRDefault="00CF405F" w:rsidP="00CF405F">
      <w:pPr>
        <w:outlineLvl w:val="0"/>
      </w:pPr>
    </w:p>
    <w:p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B183D9F" wp14:editId="5C00C9DD">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254CF99B" wp14:editId="15106C61">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rsidR="00015CBD" w:rsidRDefault="00015CBD" w:rsidP="00CF405F">
      <w:pPr>
        <w:jc w:val="both"/>
        <w:rPr>
          <w:b/>
          <w:bCs/>
        </w:rPr>
      </w:pPr>
    </w:p>
    <w:p w:rsidR="00015CBD" w:rsidRDefault="00015CBD" w:rsidP="00CF405F">
      <w:pPr>
        <w:jc w:val="both"/>
        <w:rPr>
          <w:b/>
          <w:bCs/>
        </w:rPr>
      </w:pPr>
    </w:p>
    <w:p w:rsidR="00015CBD" w:rsidRDefault="00015CBD" w:rsidP="00CF405F">
      <w:pPr>
        <w:jc w:val="both"/>
        <w:rPr>
          <w:b/>
          <w:bCs/>
        </w:rPr>
      </w:pPr>
    </w:p>
    <w:p w:rsidR="00EE28F2" w:rsidRPr="009F1E0A" w:rsidRDefault="00EE28F2" w:rsidP="00EE28F2">
      <w:pPr>
        <w:rPr>
          <w:b/>
        </w:rPr>
      </w:pPr>
      <w:r>
        <w:rPr>
          <w:b/>
        </w:rPr>
        <w:t>Дополнительная информация</w:t>
      </w:r>
      <w:r w:rsidRPr="009F1E0A">
        <w:rPr>
          <w:b/>
        </w:rPr>
        <w:t xml:space="preserve"> </w:t>
      </w:r>
    </w:p>
    <w:p w:rsidR="00EE28F2" w:rsidRDefault="00EE28F2" w:rsidP="00EE28F2">
      <w:r>
        <w:rPr>
          <w:b/>
        </w:rPr>
        <w:t xml:space="preserve">Время. </w:t>
      </w:r>
      <w:r w:rsidRPr="00C213C9">
        <w:t>В Киеве на 1 час больше, чем в Барселоне.</w:t>
      </w:r>
    </w:p>
    <w:p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rsidR="00EE28F2" w:rsidRDefault="00EE28F2" w:rsidP="00EE28F2">
      <w:r>
        <w:rPr>
          <w:b/>
        </w:rPr>
        <w:t>Туристический налог</w:t>
      </w:r>
      <w:r w:rsidRPr="009F1E0A">
        <w:rPr>
          <w:b/>
        </w:rPr>
        <w:t>.</w:t>
      </w:r>
      <w:r>
        <w:t xml:space="preserve"> </w:t>
      </w:r>
    </w:p>
    <w:p w:rsidR="00EE28F2" w:rsidRPr="00CB3774" w:rsidRDefault="00EE28F2" w:rsidP="00EE28F2">
      <w:pPr>
        <w:rPr>
          <w:i/>
        </w:rPr>
      </w:pPr>
      <w:r w:rsidRPr="00CB3774">
        <w:rPr>
          <w:i/>
        </w:rPr>
        <w:t>Каталония:</w:t>
      </w:r>
    </w:p>
    <w:p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rsidR="00EE28F2" w:rsidRPr="00CB3774" w:rsidRDefault="00EE28F2" w:rsidP="00EE28F2">
      <w:pPr>
        <w:rPr>
          <w:i/>
        </w:rPr>
      </w:pPr>
      <w:r w:rsidRPr="00CB3774">
        <w:rPr>
          <w:i/>
        </w:rPr>
        <w:t>Балеарские острова:</w:t>
      </w:r>
    </w:p>
    <w:p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rsidR="00EE28F2" w:rsidRPr="004E4AF4" w:rsidRDefault="00EE28F2" w:rsidP="00EE28F2">
      <w:pPr>
        <w:rPr>
          <w:b/>
        </w:rPr>
      </w:pPr>
      <w:r w:rsidRPr="004E4AF4">
        <w:rPr>
          <w:b/>
        </w:rPr>
        <w:t>ЭКСКУРСИИ.</w:t>
      </w:r>
      <w:r>
        <w:t xml:space="preserve"> </w:t>
      </w:r>
    </w:p>
    <w:p w:rsidR="00EE28F2" w:rsidRDefault="00EE28F2" w:rsidP="00EE28F2">
      <w:r>
        <w:t>Проведение некоторых экскурсий зависит от погодных условий и набора группы.</w:t>
      </w:r>
    </w:p>
    <w:p w:rsidR="00EE28F2" w:rsidRDefault="00EE28F2" w:rsidP="00EE28F2">
      <w:pPr>
        <w:pStyle w:val="ae"/>
        <w:numPr>
          <w:ilvl w:val="0"/>
          <w:numId w:val="2"/>
        </w:numPr>
      </w:pPr>
      <w:r>
        <w:t xml:space="preserve">Обзорная экскурсия по Барселоне / Майорке </w:t>
      </w:r>
      <w:r w:rsidR="007E373B">
        <w:t>/ Тенерифе</w:t>
      </w:r>
    </w:p>
    <w:p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rsidR="00EE28F2" w:rsidRDefault="00EE28F2" w:rsidP="00EE28F2">
      <w:pPr>
        <w:pStyle w:val="ae"/>
        <w:numPr>
          <w:ilvl w:val="0"/>
          <w:numId w:val="2"/>
        </w:numPr>
      </w:pPr>
      <w:r w:rsidRPr="00B05F5B">
        <w:t>Вальдемоса</w:t>
      </w:r>
      <w:r>
        <w:t xml:space="preserve"> (о. Майорка)</w:t>
      </w:r>
    </w:p>
    <w:p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rsidR="00EE28F2" w:rsidRPr="00992B0E" w:rsidRDefault="00EE28F2" w:rsidP="00EE28F2">
      <w:pPr>
        <w:pStyle w:val="ae"/>
        <w:numPr>
          <w:ilvl w:val="0"/>
          <w:numId w:val="2"/>
        </w:numPr>
        <w:rPr>
          <w:b/>
        </w:rPr>
      </w:pPr>
      <w:r>
        <w:t>Лоро Парк (о. Тенерифе)</w:t>
      </w:r>
    </w:p>
    <w:p w:rsidR="00EE28F2" w:rsidRPr="00992B0E" w:rsidRDefault="00EE28F2" w:rsidP="00EE28F2">
      <w:pPr>
        <w:pStyle w:val="ae"/>
        <w:numPr>
          <w:ilvl w:val="0"/>
          <w:numId w:val="2"/>
        </w:numPr>
        <w:rPr>
          <w:b/>
        </w:rPr>
      </w:pPr>
      <w:r>
        <w:t>Сиам Парк (о. Тенерифе)</w:t>
      </w:r>
    </w:p>
    <w:p w:rsidR="00CF405F" w:rsidRPr="005E6559" w:rsidRDefault="00CF405F" w:rsidP="00CF405F">
      <w:pPr>
        <w:pStyle w:val="ae"/>
        <w:numPr>
          <w:ilvl w:val="0"/>
          <w:numId w:val="2"/>
        </w:numPr>
        <w:rPr>
          <w:b/>
        </w:rPr>
      </w:pPr>
      <w:r>
        <w:t>Обзорная экскурсия по острову и вулкан Тейде (о. Тенерифе)</w:t>
      </w:r>
    </w:p>
    <w:p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07C54039" wp14:editId="353D84C7">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rsidR="00CF405F" w:rsidRPr="00B05F5B" w:rsidRDefault="00CF405F" w:rsidP="00CF405F">
      <w:pPr>
        <w:pStyle w:val="ae"/>
        <w:rPr>
          <w:b/>
        </w:rPr>
      </w:pPr>
    </w:p>
    <w:p w:rsidR="00CF405F" w:rsidRPr="006476BC" w:rsidRDefault="00CF405F" w:rsidP="00CF405F">
      <w:pPr>
        <w:rPr>
          <w:bCs/>
          <w:color w:val="000000"/>
        </w:rPr>
      </w:pPr>
    </w:p>
    <w:p w:rsidR="00292B94" w:rsidRPr="007E373B" w:rsidRDefault="00CF405F" w:rsidP="007E373B">
      <w:pPr>
        <w:jc w:val="center"/>
        <w:rPr>
          <w:b/>
          <w:bCs/>
          <w:color w:val="000000"/>
        </w:rPr>
      </w:pPr>
      <w:r w:rsidRPr="006476BC">
        <w:rPr>
          <w:b/>
          <w:bCs/>
          <w:color w:val="000000"/>
        </w:rPr>
        <w:t>Желаем Вам с</w:t>
      </w:r>
      <w:r>
        <w:rPr>
          <w:b/>
          <w:bCs/>
          <w:color w:val="000000"/>
        </w:rPr>
        <w:t>частливого и яркого путешествия!</w:t>
      </w:r>
    </w:p>
    <w:sectPr w:rsidR="00292B94" w:rsidRPr="007E373B"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77" w:rsidRDefault="00F80277" w:rsidP="00F92B3B">
      <w:pPr>
        <w:spacing w:after="0" w:line="240" w:lineRule="auto"/>
      </w:pPr>
      <w:r>
        <w:separator/>
      </w:r>
    </w:p>
  </w:endnote>
  <w:endnote w:type="continuationSeparator" w:id="0">
    <w:p w:rsidR="00F80277" w:rsidRDefault="00F80277"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9A0855">
    <w:pPr>
      <w:pStyle w:val="a5"/>
    </w:pPr>
    <w:r>
      <w:rPr>
        <w:noProof/>
      </w:rPr>
      <w:drawing>
        <wp:anchor distT="0" distB="0" distL="114300" distR="114300" simplePos="0" relativeHeight="251657216" behindDoc="1" locked="0" layoutInCell="1" allowOverlap="1">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77" w:rsidRDefault="00F80277" w:rsidP="00F92B3B">
      <w:pPr>
        <w:spacing w:after="0" w:line="240" w:lineRule="auto"/>
      </w:pPr>
      <w:r>
        <w:separator/>
      </w:r>
    </w:p>
  </w:footnote>
  <w:footnote w:type="continuationSeparator" w:id="0">
    <w:p w:rsidR="00F80277" w:rsidRDefault="00F80277"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Pr="00A26557" w:rsidRDefault="007666B2" w:rsidP="00A26557">
    <w:pPr>
      <w:pStyle w:val="a3"/>
    </w:pPr>
    <w:r>
      <w:rPr>
        <w:noProof/>
      </w:rPr>
      <w:drawing>
        <wp:anchor distT="0" distB="0" distL="114300" distR="114300" simplePos="0" relativeHeight="251654141" behindDoc="1" locked="0" layoutInCell="1" allowOverlap="1" wp14:anchorId="1EA68E52" wp14:editId="76AEAEC3">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15CBD"/>
    <w:rsid w:val="00032DE1"/>
    <w:rsid w:val="00056C16"/>
    <w:rsid w:val="0007149E"/>
    <w:rsid w:val="00082D63"/>
    <w:rsid w:val="000D18F4"/>
    <w:rsid w:val="001619F5"/>
    <w:rsid w:val="0017296B"/>
    <w:rsid w:val="001A55FA"/>
    <w:rsid w:val="001C47E0"/>
    <w:rsid w:val="001D5E82"/>
    <w:rsid w:val="001F3741"/>
    <w:rsid w:val="002136F7"/>
    <w:rsid w:val="00216CA1"/>
    <w:rsid w:val="00225B02"/>
    <w:rsid w:val="00232C8A"/>
    <w:rsid w:val="00232D3D"/>
    <w:rsid w:val="002331A2"/>
    <w:rsid w:val="0025624A"/>
    <w:rsid w:val="00264B22"/>
    <w:rsid w:val="00271535"/>
    <w:rsid w:val="00280A37"/>
    <w:rsid w:val="00292B94"/>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5707E"/>
    <w:rsid w:val="00693F32"/>
    <w:rsid w:val="006A279E"/>
    <w:rsid w:val="006D08FE"/>
    <w:rsid w:val="006F5EED"/>
    <w:rsid w:val="00724DDB"/>
    <w:rsid w:val="00736F89"/>
    <w:rsid w:val="0075410B"/>
    <w:rsid w:val="007666B2"/>
    <w:rsid w:val="007C2D1B"/>
    <w:rsid w:val="007D1DB6"/>
    <w:rsid w:val="007E276D"/>
    <w:rsid w:val="007E373B"/>
    <w:rsid w:val="007E60DE"/>
    <w:rsid w:val="00827DFF"/>
    <w:rsid w:val="00844001"/>
    <w:rsid w:val="00882FBA"/>
    <w:rsid w:val="008A41ED"/>
    <w:rsid w:val="008B53E6"/>
    <w:rsid w:val="008B6618"/>
    <w:rsid w:val="008C6BC6"/>
    <w:rsid w:val="008E0101"/>
    <w:rsid w:val="008F3706"/>
    <w:rsid w:val="0090561C"/>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C05572"/>
    <w:rsid w:val="00C7102B"/>
    <w:rsid w:val="00CC03ED"/>
    <w:rsid w:val="00CF405F"/>
    <w:rsid w:val="00CF700A"/>
    <w:rsid w:val="00CF75D4"/>
    <w:rsid w:val="00CF7C8D"/>
    <w:rsid w:val="00D17DC1"/>
    <w:rsid w:val="00D32E27"/>
    <w:rsid w:val="00D53104"/>
    <w:rsid w:val="00D65214"/>
    <w:rsid w:val="00D70F91"/>
    <w:rsid w:val="00D72EF9"/>
    <w:rsid w:val="00DC6004"/>
    <w:rsid w:val="00DD2366"/>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0277"/>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DBB5-92D2-4E16-B2C9-D0B11545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Владимир Савицкий</cp:lastModifiedBy>
  <cp:revision>2</cp:revision>
  <cp:lastPrinted>2017-06-27T08:53:00Z</cp:lastPrinted>
  <dcterms:created xsi:type="dcterms:W3CDTF">2018-06-01T10:06:00Z</dcterms:created>
  <dcterms:modified xsi:type="dcterms:W3CDTF">2018-06-01T10:06:00Z</dcterms:modified>
</cp:coreProperties>
</file>